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60" w:before="0"/>
      </w:pPr>
      <w:r>
        <w:t>Biossincronografia PRISMAS</w:t>
      </w:r>
    </w:p>
    <w:p>
      <w:pPr>
        <w:pStyle w:val="Subtitle"/>
        <w:spacing w:after="60" w:before="0"/>
      </w:pPr>
      <w:r>
        <w:t>Leitura visual, rítmica e integrativa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3096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b/>
                <w:sz w:val="19"/>
              </w:rPr>
              <w:t>Uso PRISMA'S</w:t>
            </w:r>
          </w:p>
        </w:tc>
        <w:tc>
          <w:tcPr>
            <w:tcW w:type="dxa" w:w="684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sz w:val="19"/>
              </w:rPr>
              <w:t>Leitura interpretativa da sincronia biointegrada</w:t>
            </w:r>
          </w:p>
        </w:tc>
      </w:tr>
      <w:tr>
        <w:tc>
          <w:tcPr>
            <w:tcW w:type="dxa" w:w="3096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b/>
                <w:sz w:val="19"/>
              </w:rPr>
              <w:t>Natureza</w:t>
            </w:r>
          </w:p>
        </w:tc>
        <w:tc>
          <w:tcPr>
            <w:tcW w:type="dxa" w:w="684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sz w:val="19"/>
              </w:rPr>
              <w:t>Educativa, visual, rítmica e não diagnóstica</w:t>
            </w:r>
          </w:p>
        </w:tc>
      </w:tr>
      <w:tr>
        <w:tc>
          <w:tcPr>
            <w:tcW w:type="dxa" w:w="3096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b/>
                <w:sz w:val="19"/>
              </w:rPr>
              <w:t>Índice relacionado</w:t>
            </w:r>
          </w:p>
        </w:tc>
        <w:tc>
          <w:tcPr>
            <w:tcW w:type="dxa" w:w="684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sz w:val="19"/>
              </w:rPr>
              <w:t>Phi_ISBT / ISBT</w:t>
            </w:r>
          </w:p>
        </w:tc>
      </w:tr>
      <w:tr>
        <w:tc>
          <w:tcPr>
            <w:tcW w:type="dxa" w:w="3096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b/>
                <w:sz w:val="19"/>
              </w:rPr>
              <w:t>Aplicação</w:t>
            </w:r>
          </w:p>
        </w:tc>
        <w:tc>
          <w:tcPr>
            <w:tcW w:type="dxa" w:w="684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sz w:val="19"/>
              </w:rPr>
              <w:t>Mandala, cor, pulso e orientação prática</w:t>
            </w:r>
          </w:p>
        </w:tc>
      </w:tr>
    </w:tbl>
    <w:p>
      <w:pPr>
        <w:pStyle w:val="Heading1"/>
        <w:spacing w:after="60" w:before="0"/>
      </w:pPr>
      <w:r>
        <w:t>Definição premium</w:t>
      </w:r>
    </w:p>
    <w:p>
      <w:pPr>
        <w:spacing w:after="60" w:before="0"/>
      </w:pPr>
      <w:r>
        <w:t>A Biossincronografia constitui uma leitura visual, rítmica e interpretativa da sincronia entre matrizes biológicas, comportamentais, biográficas e territoriais.</w:t>
      </w:r>
    </w:p>
    <w:p>
      <w:pPr>
        <w:spacing w:after="60" w:before="0"/>
      </w:pPr>
      <w:r>
        <w:t>A partir do índice sistêmico, traduz essas camadas em uma mandala sensível de cor, pulso e direção prática, revelando padrões de vitalidade, alinhamento, presença e decisão.</w:t>
      </w:r>
    </w:p>
    <w:p>
      <w:pPr>
        <w:pStyle w:val="Heading1"/>
        <w:spacing w:after="60" w:before="0"/>
      </w:pPr>
      <w:r>
        <w:t>Fórmula de identidade</w:t>
      </w:r>
    </w:p>
    <w:p>
      <w:pPr>
        <w:spacing w:after="60" w:before="0"/>
      </w:pPr>
      <w:r>
        <w:t>Biologia + Comportamento + Biografia + Território = Phi_ISBT.</w:t>
      </w:r>
    </w:p>
    <w:p>
      <w:pPr>
        <w:spacing w:after="60" w:before="0"/>
      </w:pPr>
      <w:r>
        <w:t>O cálculo produz o índice. A Biossincronografia produz a leitura: transforma número em ritmo, cor, mandala e próximo gesto possivel.</w:t>
      </w:r>
    </w:p>
    <w:p>
      <w:pPr>
        <w:pStyle w:val="Heading1"/>
        <w:spacing w:after="60" w:before="0"/>
      </w:pPr>
      <w:r>
        <w:t>Eixos de integração</w:t>
      </w:r>
    </w:p>
    <w:p>
      <w:pPr>
        <w:spacing w:after="60" w:before="0"/>
      </w:pPr>
      <w:r>
        <w:t>Biológico: mensurar vitalidade celular, homeostase, sono, nutrição, hidratação, movimento e regeneração.</w:t>
      </w:r>
    </w:p>
    <w:p>
      <w:pPr>
        <w:spacing w:after="60" w:before="0"/>
      </w:pPr>
      <w:r>
        <w:t>Comportamental: identificar ritmos diários, hábitos integrativos, constância, escolhas e disciplina vital.</w:t>
      </w:r>
    </w:p>
    <w:p>
      <w:pPr>
        <w:spacing w:after="60" w:before="0"/>
      </w:pPr>
      <w:r>
        <w:t>Biográfico: alinhar trajetória, idade, história pessoal, marcos de evolução e sabedoria acumulada.</w:t>
      </w:r>
    </w:p>
    <w:p>
      <w:pPr>
        <w:spacing w:after="60" w:before="0"/>
      </w:pPr>
      <w:r>
        <w:t>Territorial: avaliar ambiente físico, pertencimento, ordem espacial, convivência e ecossistema de bem-estar.</w:t>
      </w:r>
    </w:p>
    <w:p>
      <w:pPr>
        <w:pStyle w:val="Heading1"/>
        <w:spacing w:after="60" w:before="0"/>
      </w:pPr>
      <w:r>
        <w:t>Frase de registro</w:t>
      </w:r>
    </w:p>
    <w:p>
      <w:pPr>
        <w:spacing w:after="60" w:before="0"/>
      </w:pPr>
      <w:r>
        <w:t>A Biossincronografia é a expressão visual da sincronia sistêmica: transforma o índice de vitalidade em mandala, cor, pulso e bússola prática.</w:t>
      </w:r>
    </w:p>
    <w:p>
      <w:pPr>
        <w:spacing w:after="60" w:before="0"/>
      </w:pPr>
      <w:r>
        <w:t>A cor revela o pulso. O pulso orienta a escolha. A escolha organiza a vitalidade.</w:t>
      </w:r>
    </w:p>
    <w:p>
      <w:pPr>
        <w:pStyle w:val="Heading2"/>
        <w:spacing w:after="60" w:before="0"/>
      </w:pPr>
      <w:r>
        <w:t>Mapa visual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939"/>
        <w:gridCol w:w="4939"/>
      </w:tblGrid>
      <w:tr>
        <w:tc>
          <w:tcPr>
            <w:tcW w:type="dxa" w:w="2376"/>
            <w:shd w:fill="E8EEF5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60" w:before="0"/>
            </w:pPr>
            <w:r>
              <w:rPr>
                <w:sz w:val="18"/>
              </w:rPr>
              <w:t>Componente</w:t>
            </w:r>
          </w:p>
        </w:tc>
        <w:tc>
          <w:tcPr>
            <w:tcW w:type="dxa" w:w="7416"/>
            <w:shd w:fill="E8EEF5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60" w:before="0"/>
            </w:pPr>
            <w:r>
              <w:rPr>
                <w:sz w:val="18"/>
              </w:rPr>
              <w:t>Função</w:t>
            </w:r>
          </w:p>
        </w:tc>
      </w:tr>
      <w:tr>
        <w:tc>
          <w:tcPr>
            <w:tcW w:type="dxa" w:w="2376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60" w:before="0"/>
            </w:pPr>
            <w:r>
              <w:rPr>
                <w:sz w:val="18"/>
              </w:rPr>
              <w:t>Mandala</w:t>
            </w:r>
          </w:p>
        </w:tc>
        <w:tc>
          <w:tcPr>
            <w:tcW w:type="dxa" w:w="7416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60" w:before="0"/>
            </w:pPr>
            <w:r>
              <w:rPr>
                <w:sz w:val="18"/>
              </w:rPr>
              <w:t>Organizar camadas do índice em leitura simbólica e sensivel.</w:t>
            </w:r>
          </w:p>
        </w:tc>
      </w:tr>
      <w:tr>
        <w:tc>
          <w:tcPr>
            <w:tcW w:type="dxa" w:w="2376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60" w:before="0"/>
            </w:pPr>
            <w:r>
              <w:rPr>
                <w:sz w:val="18"/>
              </w:rPr>
              <w:t>Cor</w:t>
            </w:r>
          </w:p>
        </w:tc>
        <w:tc>
          <w:tcPr>
            <w:tcW w:type="dxa" w:w="7416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60" w:before="0"/>
            </w:pPr>
            <w:r>
              <w:rPr>
                <w:sz w:val="18"/>
              </w:rPr>
              <w:t>Comunicar estados de vitalidade e transição.</w:t>
            </w:r>
          </w:p>
        </w:tc>
      </w:tr>
      <w:tr>
        <w:tc>
          <w:tcPr>
            <w:tcW w:type="dxa" w:w="2376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60" w:before="0"/>
            </w:pPr>
            <w:r>
              <w:rPr>
                <w:sz w:val="18"/>
              </w:rPr>
              <w:t>Pulso</w:t>
            </w:r>
          </w:p>
        </w:tc>
        <w:tc>
          <w:tcPr>
            <w:tcW w:type="dxa" w:w="7416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60" w:before="0"/>
            </w:pPr>
            <w:r>
              <w:rPr>
                <w:sz w:val="18"/>
              </w:rPr>
              <w:t>Expressar ritmo, coerência e movimento contínuo.</w:t>
            </w:r>
          </w:p>
        </w:tc>
      </w:tr>
      <w:tr>
        <w:tc>
          <w:tcPr>
            <w:tcW w:type="dxa" w:w="2376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60" w:before="0"/>
            </w:pPr>
            <w:r>
              <w:rPr>
                <w:sz w:val="18"/>
              </w:rPr>
              <w:t>Bússola prática</w:t>
            </w:r>
          </w:p>
        </w:tc>
        <w:tc>
          <w:tcPr>
            <w:tcW w:type="dxa" w:w="7416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60" w:before="0"/>
            </w:pPr>
            <w:r>
              <w:rPr>
                <w:sz w:val="18"/>
              </w:rPr>
              <w:t>Converter leitura em pequena escolha cotidiana.</w:t>
            </w:r>
          </w:p>
        </w:tc>
      </w:tr>
    </w:tbl>
    <w:sectPr w:rsidR="00FC693F" w:rsidRPr="0006063C" w:rsidSect="00034616">
      <w:footerReference w:type="default" r:id="rId9"/>
      <w:headerReference w:type="default" r:id="rId10"/>
      <w:headerReference w:type="first" r:id="rId11"/>
      <w:footerReference w:type="first" r:id="rId12"/>
      <w:pgSz w:w="12240" w:h="15840"/>
      <w:pgMar w:top="893" w:right="1008" w:bottom="792" w:left="1008" w:header="648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60" w:before="0"/>
      <w:jc w:val="right"/>
    </w:pPr>
    <w:r>
      <w:rPr>
        <w:color w:val="555555"/>
        <w:sz w:val="16"/>
      </w:rPr>
      <w:t>PRISMA'S / documentos PUP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60" w:before="0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60" w:before="0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60" w:before="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Theme="majorHAnsi" w:eastAsiaTheme="majorEastAsia" w:hAnsiTheme="majorHAnsi" w:cstheme="majorBidi" w:ascii="Calibri" w:hAnsi="Calibri"/>
      <w:b/>
      <w:bCs/>
      <w:color w:val="1F4D78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B2545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00"/>
    </w:pPr>
    <w:rPr>
      <w:rFonts w:asciiTheme="majorHAnsi" w:eastAsiaTheme="majorEastAsia" w:hAnsiTheme="majorHAnsi" w:cstheme="majorBidi" w:ascii="Calibri" w:hAnsi="Calibri"/>
      <w:i/>
      <w:iCs/>
      <w:color w:val="1F4D78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52" w:lineRule="auto"/>
    </w:pPr>
    <w:rPr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